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6" w:rsidRPr="004B1373" w:rsidRDefault="00C450E1" w:rsidP="004B1373">
      <w:pPr>
        <w:spacing w:line="300" w:lineRule="auto"/>
        <w:ind w:leftChars="254" w:left="1245" w:hangingChars="245" w:hanging="686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25pt;margin-top:-28.65pt;width:111.75pt;height:24.7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wDOQIAAE8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31sWiQ5cFxCtUNiLQwT&#10;jhuJQgP2IyUdTndB3YcNs4IS9cJgc2bpZBLWISqT6ZMMFXtsKY8tzHCEKqinZBCXPq5QSNXAOTax&#10;lpHf+0z2KePUxg7tNyysxbEeve7/A4sf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iP4MAzkCAABPBAAADgAAAAAAAAAA&#10;AAAAAAAuAgAAZHJzL2Uyb0RvYy54bWxQSwECLQAUAAYACAAAACEAn3TdTN0AAAAGAQAADwAAAAAA&#10;AAAAAAAAAACTBAAAZHJzL2Rvd25yZXYueG1sUEsFBgAAAAAEAAQA8wAAAJ0FAAAAAA==&#10;">
            <v:textbox>
              <w:txbxContent>
                <w:p w:rsidR="00081174" w:rsidRDefault="00081174" w:rsidP="00400B86">
                  <w:r>
                    <w:rPr>
                      <w:rFonts w:hint="eastAsia"/>
                      <w:lang w:eastAsia="zh-TW"/>
                    </w:rPr>
                    <w:t>附件二之一</w:t>
                  </w:r>
                  <w:r w:rsidR="00C450E1">
                    <w:rPr>
                      <w:lang w:eastAsia="zh-TW"/>
                    </w:rPr>
                    <w:fldChar w:fldCharType="begin"/>
                  </w:r>
                  <w:r>
                    <w:rPr>
                      <w:rFonts w:hint="eastAsia"/>
                      <w:lang w:eastAsia="zh-TW"/>
                    </w:rPr>
                    <w:instrText>eq \o\ac(</w:instrText>
                  </w:r>
                  <w:r>
                    <w:rPr>
                      <w:rFonts w:hint="eastAsia"/>
                      <w:lang w:eastAsia="zh-TW"/>
                    </w:rPr>
                    <w:instrText>○</w:instrText>
                  </w:r>
                  <w:r>
                    <w:rPr>
                      <w:rFonts w:hint="eastAsia"/>
                      <w:lang w:eastAsia="zh-TW"/>
                    </w:rPr>
                    <w:instrText>,</w:instrText>
                  </w:r>
                  <w:r w:rsidRPr="00400B86">
                    <w:rPr>
                      <w:rFonts w:ascii="Calibri" w:hint="eastAsia"/>
                      <w:position w:val="3"/>
                      <w:sz w:val="15"/>
                      <w:lang w:eastAsia="zh-TW"/>
                    </w:rPr>
                    <w:instrText>2</w:instrText>
                  </w:r>
                  <w:r>
                    <w:rPr>
                      <w:rFonts w:hint="eastAsia"/>
                      <w:lang w:eastAsia="zh-TW"/>
                    </w:rPr>
                    <w:instrText>)</w:instrText>
                  </w:r>
                  <w:r w:rsidR="00C450E1">
                    <w:rPr>
                      <w:lang w:eastAsia="zh-TW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  <w:r w:rsidR="00400B86"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="00400B86"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="00400B8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/>
      </w:tblPr>
      <w:tblGrid>
        <w:gridCol w:w="1270"/>
        <w:gridCol w:w="736"/>
        <w:gridCol w:w="1297"/>
        <w:gridCol w:w="1654"/>
        <w:gridCol w:w="1656"/>
        <w:gridCol w:w="1650"/>
        <w:gridCol w:w="1654"/>
      </w:tblGrid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校名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CE4BEF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嘉義縣竹崎鄉圓崇國民小學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B1373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『陶』醉在圓崇</w:t>
            </w: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CE4BEF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藝文教室</w:t>
            </w:r>
          </w:p>
        </w:tc>
      </w:tr>
      <w:tr w:rsidR="00400B86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CE4BEF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低</w:t>
            </w:r>
            <w:r w:rsidR="004B137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中年級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CE4BEF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CE4BEF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吳曉芸</w:t>
            </w: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BEF" w:rsidRPr="00690A66" w:rsidRDefault="00CE4BEF" w:rsidP="00CE4BEF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(1)透過課程之推展，提升學生藝術素養之提升，並建立特色的校本課程。</w:t>
            </w:r>
          </w:p>
          <w:p w:rsidR="00CE4BEF" w:rsidRPr="00690A66" w:rsidRDefault="00CE4BEF" w:rsidP="00CE4BEF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(2)創新藝文教學形態，提高學生的立體創作能力。</w:t>
            </w:r>
          </w:p>
          <w:p w:rsidR="00400B86" w:rsidRPr="00357DDB" w:rsidRDefault="00CE4BEF" w:rsidP="00CE4BEF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(4)透過計畫之實施，有助於培育地方陶工藝之人才，以建立地方藝術人才資料庫。</w:t>
            </w:r>
          </w:p>
        </w:tc>
      </w:tr>
      <w:tr w:rsidR="00400B86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2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ADF" w:rsidRPr="004B1373" w:rsidRDefault="00835AF7" w:rsidP="00FE4ADF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透過結合在地藝術家之教學(鐵道)資源，與校內授課老師共同辦理</w:t>
            </w:r>
          </w:p>
          <w:p w:rsidR="00835AF7" w:rsidRPr="004B1373" w:rsidRDefault="00835AF7" w:rsidP="00FE4ADF">
            <w:pPr>
              <w:pStyle w:val="TableParagraph"/>
              <w:spacing w:before="78"/>
              <w:ind w:left="72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學校本位陶藝教學課程，並發展學校特色。</w:t>
            </w:r>
          </w:p>
          <w:p w:rsidR="00FE4ADF" w:rsidRPr="004B1373" w:rsidRDefault="00835AF7" w:rsidP="00FE4ADF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充實非本科系教師藝術與人文教學素養與技巧，讓學校藝術與人文</w:t>
            </w:r>
          </w:p>
          <w:p w:rsidR="00835AF7" w:rsidRPr="004B1373" w:rsidRDefault="00835AF7" w:rsidP="00FE4ADF">
            <w:pPr>
              <w:pStyle w:val="TableParagraph"/>
              <w:spacing w:before="78"/>
              <w:ind w:left="72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教師未來皆具備自主陶藝教學能力，達成教師的專業成長。</w:t>
            </w:r>
          </w:p>
          <w:p w:rsidR="00FE4ADF" w:rsidRPr="004B1373" w:rsidRDefault="00835AF7" w:rsidP="00FE4ADF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提供學生全方位的陶藝體驗及陶冶課程，達成藝術與人文課程能力</w:t>
            </w:r>
          </w:p>
          <w:p w:rsidR="00835AF7" w:rsidRPr="004B1373" w:rsidRDefault="00835AF7" w:rsidP="00FE4ADF">
            <w:pPr>
              <w:pStyle w:val="TableParagraph"/>
              <w:spacing w:before="78"/>
              <w:ind w:left="72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指標，有效引導學生對於藝文的體驗與學習，提昇其學習興趣，增進學生學習成就。</w:t>
            </w:r>
          </w:p>
          <w:p w:rsidR="00FE4ADF" w:rsidRPr="004B1373" w:rsidRDefault="00835AF7" w:rsidP="00FE4ADF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發展學校本位藝術人文深耕課程，激勵教師專業成長，致力於藝術</w:t>
            </w:r>
          </w:p>
          <w:p w:rsidR="00835AF7" w:rsidRPr="004B1373" w:rsidRDefault="00835AF7" w:rsidP="00FE4ADF">
            <w:pPr>
              <w:pStyle w:val="TableParagraph"/>
              <w:spacing w:before="78"/>
              <w:ind w:left="72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教學傳承。</w:t>
            </w:r>
          </w:p>
          <w:p w:rsidR="00FE4ADF" w:rsidRPr="004B1373" w:rsidRDefault="00835AF7" w:rsidP="00FE4ADF">
            <w:pPr>
              <w:pStyle w:val="TableParagraph"/>
              <w:numPr>
                <w:ilvl w:val="0"/>
                <w:numId w:val="5"/>
              </w:numPr>
              <w:spacing w:before="78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陶藝學習結合校園環境特色，讓孩子製作之陶藝作品點綴校園裡的</w:t>
            </w:r>
          </w:p>
          <w:p w:rsidR="00835AF7" w:rsidRPr="004B1373" w:rsidRDefault="00835AF7" w:rsidP="00FE4ADF">
            <w:pPr>
              <w:pStyle w:val="TableParagraph"/>
              <w:spacing w:before="78"/>
              <w:ind w:left="720"/>
              <w:rPr>
                <w:rFonts w:ascii="標楷體" w:eastAsia="標楷體" w:hAnsi="標楷體" w:cs="新細明體"/>
                <w:szCs w:val="24"/>
                <w:lang w:eastAsia="zh-TW"/>
              </w:rPr>
            </w:pPr>
            <w:bookmarkStart w:id="0" w:name="_GoBack"/>
            <w:bookmarkEnd w:id="0"/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每一個角落。</w:t>
            </w:r>
          </w:p>
          <w:p w:rsidR="00400B86" w:rsidRPr="00357DDB" w:rsidRDefault="00835AF7" w:rsidP="00835AF7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六、</w:t>
            </w:r>
            <w:r w:rsidRPr="004B1373">
              <w:rPr>
                <w:rFonts w:ascii="標楷體" w:eastAsia="標楷體" w:hAnsi="標楷體" w:cs="新細明體" w:hint="eastAsia"/>
                <w:szCs w:val="24"/>
                <w:lang w:eastAsia="zh-TW"/>
              </w:rPr>
              <w:tab/>
              <w:t>結合社區特色，珍視社區意象，發掘社區生命力。</w:t>
            </w:r>
          </w:p>
        </w:tc>
      </w:tr>
      <w:tr w:rsidR="00400B86" w:rsidRPr="00357DDB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="00835AF7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="00835AF7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="00835AF7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</w:p>
        </w:tc>
      </w:tr>
      <w:tr w:rsidR="00400B86" w:rsidRPr="00357DDB" w:rsidTr="004B1373">
        <w:trPr>
          <w:trHeight w:hRule="exact" w:val="1236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4BEF" w:rsidRPr="00690A66" w:rsidRDefault="00CE4BEF" w:rsidP="00CE4BE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很榮幸有機會到學校指導小朋友們體驗陶土藝術的課程，看著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低年級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小朋友們對陶土從陌生到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感興趣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，作品也越來越進步真心感到非常欣慰。</w:t>
            </w:r>
          </w:p>
          <w:p w:rsidR="00400B86" w:rsidRPr="00357DDB" w:rsidRDefault="00CE4BEF" w:rsidP="00CE4BE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但教學的時間與課程的安排上節數較少，所以能做的作品有限，如未來有更多的時間，相信小朋友們會有更精采的作品。</w:t>
            </w:r>
          </w:p>
        </w:tc>
      </w:tr>
      <w:tr w:rsidR="00400B86" w:rsidRPr="00357DDB" w:rsidTr="004B1373">
        <w:trPr>
          <w:trHeight w:hRule="exact" w:val="155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CE4BEF" w:rsidRPr="00690A66" w:rsidRDefault="00CE4BEF" w:rsidP="00CE4BE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這學期帶著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低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年級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與中年級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的學生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和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藝術家進行一場陶藝的盛會。</w:t>
            </w:r>
          </w:p>
          <w:p w:rsidR="00400B86" w:rsidRPr="00357DDB" w:rsidRDefault="00CE4BEF" w:rsidP="00CE4BE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從認識陶土開始，看著學生從好奇到體驗、動手實作，最後完成一件作品的感動，也看到了他們在這堂課上的成長，在12年國教裡要培養學生的是能力與素養，這次與藝術家合作的計畫裡，我看到了更多不一樣的層面，也從中學到更多有用的技巧。</w:t>
            </w:r>
          </w:p>
        </w:tc>
      </w:tr>
      <w:tr w:rsidR="00400B86" w:rsidRPr="00357DDB" w:rsidTr="004B1373">
        <w:trPr>
          <w:trHeight w:hRule="exact" w:val="1432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B1373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sz w:val="24"/>
                <w:szCs w:val="24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55pt;margin-top:69.4pt;width:495.75pt;height:0;z-index:251664384;mso-position-horizontal-relative:text;mso-position-vertical-relative:text" o:connectortype="straight"/>
              </w:pict>
            </w:r>
            <w:r w:rsidR="00400B86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CE4BEF" w:rsidP="00CE4BE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低、中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年級的學生們在本學期學習了擠、搓、揉、擀、拓、捏、刮、拍、刻、切、疊等技巧。在老師指導下也完成了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貓咪陶板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青蛙，以及金魚</w:t>
            </w: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……等等豐富作品，更在課堂上學習到許多陶土相關的知識與捏塑的技巧。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這學期也偕同中年級學生將上學期高年級的作品布置於校園內，完成一幅美麗的壁畫留在學校。</w:t>
            </w:r>
          </w:p>
        </w:tc>
      </w:tr>
      <w:tr w:rsidR="00400B86" w:rsidRPr="00357DDB" w:rsidTr="004B1373">
        <w:trPr>
          <w:trHeight w:hRule="exact" w:val="71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執行困境</w:t>
            </w:r>
          </w:p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CE4BEF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690A6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學校安排的課程時數較少，有部分班級只有一堂課的時間，對於動手做陶藝作品來說時間太短，可以思考安排的年段與實施的年級，在課程上稍做調整。</w:t>
            </w: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400B86" w:rsidRPr="00357DDB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400B86" w:rsidRPr="00357DDB" w:rsidRDefault="00400B86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D82075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19050" t="0" r="3175" b="0"/>
                  <wp:docPr id="4" name="圖片 3" descr="藝術申根_200618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申根_200618_003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D82075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1980" cy="2356485"/>
                  <wp:effectExtent l="19050" t="0" r="1270" b="0"/>
                  <wp:docPr id="5" name="圖片 4" descr="藝術申根_200618_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申根_200618_003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陶藝技巧示範教學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大嘴金魚作品捏塑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D82075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19050" t="0" r="3175" b="0"/>
                  <wp:docPr id="3" name="圖片 0" descr="藝術深耕_200618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_200618_002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1980" cy="2356485"/>
                  <wp:effectExtent l="19050" t="0" r="1270" b="0"/>
                  <wp:docPr id="6" name="圖片 5" descr="藝術深耕_200618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_200618_002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235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藝術牆面共同創作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作品送燒</w:t>
            </w:r>
          </w:p>
        </w:tc>
      </w:tr>
      <w:tr w:rsidR="00400B86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081174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19050" t="0" r="3175" b="0"/>
                  <wp:docPr id="7" name="圖片 6" descr="藝術深耕_200618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_200618_002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081174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3079750" cy="2209800"/>
                  <wp:effectExtent l="19050" t="0" r="6350" b="0"/>
                  <wp:docPr id="8" name="圖片 7" descr="藝術深耕牆面彩繪_200618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藝術深耕牆面彩繪_200618_001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B8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共同將作品黏上牆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0B86" w:rsidRPr="00357DDB" w:rsidRDefault="00CA03D4" w:rsidP="00CA03D4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校園裝置藝術作品</w:t>
            </w:r>
          </w:p>
        </w:tc>
      </w:tr>
    </w:tbl>
    <w:p w:rsidR="00400B86" w:rsidRPr="00145DCA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sectPr w:rsidR="00400B86" w:rsidRPr="00145DCA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C6" w:rsidRDefault="00D523C6">
      <w:r>
        <w:separator/>
      </w:r>
    </w:p>
  </w:endnote>
  <w:endnote w:type="continuationSeparator" w:id="1">
    <w:p w:rsidR="00D523C6" w:rsidRDefault="00D5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C6" w:rsidRDefault="00D523C6">
      <w:r>
        <w:separator/>
      </w:r>
    </w:p>
  </w:footnote>
  <w:footnote w:type="continuationSeparator" w:id="1">
    <w:p w:rsidR="00D523C6" w:rsidRDefault="00D52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B6F7E"/>
    <w:multiLevelType w:val="hybridMultilevel"/>
    <w:tmpl w:val="E6BEC974"/>
    <w:lvl w:ilvl="0" w:tplc="34062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46714"/>
    <w:rsid w:val="00002DCC"/>
    <w:rsid w:val="0000476A"/>
    <w:rsid w:val="000150CE"/>
    <w:rsid w:val="000261A1"/>
    <w:rsid w:val="00046714"/>
    <w:rsid w:val="0006036D"/>
    <w:rsid w:val="00065711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B5B61"/>
    <w:rsid w:val="001D5E79"/>
    <w:rsid w:val="001F3DE1"/>
    <w:rsid w:val="001F48B9"/>
    <w:rsid w:val="002821DB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B1373"/>
    <w:rsid w:val="004F23DE"/>
    <w:rsid w:val="00502BD5"/>
    <w:rsid w:val="00571BEF"/>
    <w:rsid w:val="005777A1"/>
    <w:rsid w:val="005904F3"/>
    <w:rsid w:val="005929CE"/>
    <w:rsid w:val="005A14EF"/>
    <w:rsid w:val="00664BF0"/>
    <w:rsid w:val="00670563"/>
    <w:rsid w:val="0069718F"/>
    <w:rsid w:val="006D5D96"/>
    <w:rsid w:val="006F2160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7F4A1B"/>
    <w:rsid w:val="0082147C"/>
    <w:rsid w:val="008276AA"/>
    <w:rsid w:val="00835AF7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6ACD"/>
    <w:rsid w:val="00AC3EA4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450E1"/>
    <w:rsid w:val="00C52326"/>
    <w:rsid w:val="00C530CD"/>
    <w:rsid w:val="00C56B94"/>
    <w:rsid w:val="00C7111C"/>
    <w:rsid w:val="00CA03D4"/>
    <w:rsid w:val="00CE39BE"/>
    <w:rsid w:val="00CE4BEF"/>
    <w:rsid w:val="00D43000"/>
    <w:rsid w:val="00D523C6"/>
    <w:rsid w:val="00D82075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  <w:rsid w:val="00FE4ADF"/>
    <w:rsid w:val="00FF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4F3"/>
  </w:style>
  <w:style w:type="paragraph" w:styleId="1">
    <w:name w:val="heading 1"/>
    <w:basedOn w:val="a"/>
    <w:uiPriority w:val="1"/>
    <w:qFormat/>
    <w:rsid w:val="005904F3"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rsid w:val="005904F3"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rsid w:val="005904F3"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4F3"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  <w:rsid w:val="005904F3"/>
  </w:style>
  <w:style w:type="paragraph" w:customStyle="1" w:styleId="TableParagraph">
    <w:name w:val="Table Paragraph"/>
    <w:basedOn w:val="a"/>
    <w:uiPriority w:val="1"/>
    <w:qFormat/>
    <w:rsid w:val="005904F3"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4D53-83F6-403C-807B-5E908628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盧俐宏</dc:creator>
  <cp:lastModifiedBy>acer-b250</cp:lastModifiedBy>
  <cp:revision>5</cp:revision>
  <cp:lastPrinted>2019-12-01T13:02:00Z</cp:lastPrinted>
  <dcterms:created xsi:type="dcterms:W3CDTF">2020-06-18T03:43:00Z</dcterms:created>
  <dcterms:modified xsi:type="dcterms:W3CDTF">2020-06-19T07:30:00Z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